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Procedura reagowania na cyberprzemoc</w:t>
      </w:r>
    </w:p>
    <w:p>
      <w:pPr>
        <w:spacing w:after="280"/>
      </w:pPr>
      <w:r>
        <w:rPr>
          <w:color w:val="6E6E78"/>
          <w:sz w:val="19"/>
        </w:rPr>
        <w:t>Wzór do dostosowania i przyjęcia w szkole albo placówce</w:t>
      </w:r>
    </w:p>
    <w:p>
      <w:r>
        <w:rPr>
          <w:b/>
        </w:rPr>
        <w:t xml:space="preserve">Nazwa placówki: </w:t>
      </w:r>
      <w:r>
        <w:rPr>
          <w:color w:val="6E6E78"/>
        </w:rPr>
        <w:t>[uzupełnić]</w:t>
      </w:r>
    </w:p>
    <w:p>
      <w:r>
        <w:rPr>
          <w:b/>
        </w:rPr>
        <w:t xml:space="preserve">Data przyjęcia procedury: </w:t>
      </w:r>
      <w:r>
        <w:rPr>
          <w:color w:val="6E6E78"/>
        </w:rPr>
        <w:t>[uzupełnić]</w:t>
      </w:r>
    </w:p>
    <w:p>
      <w:r>
        <w:rPr>
          <w:b/>
        </w:rPr>
        <w:t xml:space="preserve">Osoba odpowiedzialna za wdrożenie: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§ 1. ZAKRES</w:t>
      </w:r>
    </w:p>
    <w:p>
      <w:r>
        <w:t>Procedura określa sposób postępowania w przypadku zgłoszenia przemocy z użyciem internetu lub telefonu wobec ucznia, przez ucznia albo wobec pracownika placówki. Stosuje się ją także wtedy, gdy zdarzenie miało miejsce poza terenem placówki, a wpływa na sytuację ucznia w placówce.</w:t>
      </w:r>
    </w:p>
    <w:p>
      <w:pPr>
        <w:spacing w:before="260" w:after="80"/>
      </w:pPr>
      <w:r>
        <w:rPr>
          <w:b/>
          <w:color w:val="D22730"/>
          <w:sz w:val="18"/>
        </w:rPr>
        <w:t>§ 2. ZGŁOSZENIE</w:t>
      </w:r>
    </w:p>
    <w:p>
      <w:pPr>
        <w:pStyle w:val="ListBullet"/>
        <w:spacing w:after="60"/>
      </w:pPr>
      <w:r>
        <w:rPr>
          <w:sz w:val="20"/>
        </w:rPr>
        <w:t>Zgłoszenie może złożyć uczeń, rodzic, pracownik placówki albo osoba postronna, ustnie lub pisemnie.</w:t>
      </w:r>
    </w:p>
    <w:p>
      <w:pPr>
        <w:pStyle w:val="ListBullet"/>
        <w:spacing w:after="60"/>
      </w:pPr>
      <w:r>
        <w:rPr>
          <w:sz w:val="20"/>
        </w:rPr>
        <w:t>Osoba przyjmująca zgłoszenie sporządza notatkę zawierającą datę, godzinę, dane zgłaszającego i opis zdarzenia.</w:t>
      </w:r>
    </w:p>
    <w:p>
      <w:pPr>
        <w:pStyle w:val="ListBullet"/>
        <w:spacing w:after="60"/>
      </w:pPr>
      <w:r>
        <w:rPr>
          <w:sz w:val="20"/>
        </w:rPr>
        <w:t>Osoba przyjmująca zgłoszenie nie zapewnia zgłaszającemu, że sprawa pozostanie poufna wobec rodziców i organów, jeżeli przepisy nakazują ich zawiadomienie.</w:t>
      </w:r>
    </w:p>
    <w:p>
      <w:pPr>
        <w:spacing w:before="260" w:after="80"/>
      </w:pPr>
      <w:r>
        <w:rPr>
          <w:b/>
          <w:color w:val="D22730"/>
          <w:sz w:val="18"/>
        </w:rPr>
        <w:t>§ 3. ZABEZPIECZENIE DOWODÓW</w:t>
      </w:r>
    </w:p>
    <w:p>
      <w:pPr>
        <w:pStyle w:val="ListBullet"/>
        <w:spacing w:after="60"/>
      </w:pPr>
      <w:r>
        <w:rPr>
          <w:sz w:val="20"/>
        </w:rPr>
        <w:t>Dowody zabezpiecza się przed rozmową ze sprawcą.</w:t>
      </w:r>
    </w:p>
    <w:p>
      <w:pPr>
        <w:pStyle w:val="ListBullet"/>
        <w:spacing w:after="60"/>
      </w:pPr>
      <w:r>
        <w:rPr>
          <w:sz w:val="20"/>
        </w:rPr>
        <w:t>Zrzuty ekranu muszą obejmować adres strony, datę, godzinę i nazwę konta.</w:t>
      </w:r>
    </w:p>
    <w:p>
      <w:pPr>
        <w:pStyle w:val="ListBullet"/>
        <w:spacing w:after="60"/>
      </w:pPr>
      <w:r>
        <w:rPr>
          <w:sz w:val="20"/>
        </w:rPr>
        <w:t>Materiały przechowuje się z zachowaniem zasad ochrony danych osobowych uczniów.</w:t>
      </w:r>
    </w:p>
    <w:p>
      <w:pPr>
        <w:spacing w:before="260" w:after="80"/>
      </w:pPr>
      <w:r>
        <w:rPr>
          <w:b/>
          <w:color w:val="D22730"/>
          <w:sz w:val="18"/>
        </w:rPr>
        <w:t>§ 4. POSTĘPOWANIE WYJAŚNIAJĄCE</w:t>
      </w:r>
    </w:p>
    <w:p>
      <w:pPr>
        <w:pStyle w:val="ListBullet"/>
        <w:spacing w:after="60"/>
      </w:pPr>
      <w:r>
        <w:rPr>
          <w:sz w:val="20"/>
        </w:rPr>
        <w:t>Dyrektor wyznacza osobę prowadzącą sprawę oraz osoby odpowiedzialne za poszczególne rozmowy.</w:t>
      </w:r>
    </w:p>
    <w:p>
      <w:pPr>
        <w:pStyle w:val="ListBullet"/>
        <w:spacing w:after="60"/>
      </w:pPr>
      <w:r>
        <w:rPr>
          <w:sz w:val="20"/>
        </w:rPr>
        <w:t>Rozmowy z osobą pokrzywdzoną i ze sprawcą prowadzi się osobno. Nie stosuje się konfrontacji.</w:t>
      </w:r>
    </w:p>
    <w:p>
      <w:pPr>
        <w:pStyle w:val="ListBullet"/>
        <w:spacing w:after="60"/>
      </w:pPr>
      <w:r>
        <w:rPr>
          <w:sz w:val="20"/>
        </w:rPr>
        <w:t>Rodzice obu stron są informowani tego samego dnia, oddzielnie.</w:t>
      </w:r>
    </w:p>
    <w:p>
      <w:pPr>
        <w:pStyle w:val="ListBullet"/>
        <w:spacing w:after="60"/>
      </w:pPr>
      <w:r>
        <w:rPr>
          <w:sz w:val="20"/>
        </w:rPr>
        <w:t>Z przebiegu każdej rozmowy sporządza się notatkę.</w:t>
      </w:r>
    </w:p>
    <w:p>
      <w:pPr>
        <w:spacing w:before="260" w:after="80"/>
      </w:pPr>
      <w:r>
        <w:rPr>
          <w:b/>
          <w:color w:val="D22730"/>
          <w:sz w:val="18"/>
        </w:rPr>
        <w:t>§ 5. ZAWIADOMIENIA</w:t>
      </w:r>
    </w:p>
    <w:p>
      <w:pPr>
        <w:pStyle w:val="ListBullet"/>
        <w:spacing w:after="60"/>
      </w:pPr>
      <w:r>
        <w:rPr>
          <w:sz w:val="20"/>
        </w:rPr>
        <w:t>Przy podejrzeniu popełnienia czynu zabronionego dyrektor zawiadamia Policję albo sąd rodzinny.</w:t>
      </w:r>
    </w:p>
    <w:p>
      <w:pPr>
        <w:pStyle w:val="ListBullet"/>
        <w:spacing w:after="60"/>
      </w:pPr>
      <w:r>
        <w:rPr>
          <w:sz w:val="20"/>
        </w:rPr>
        <w:t>Przy treściach przedstawiających krzywdzenie dziecka zgłoszenie kieruje się również do właściwego zespołu.</w:t>
      </w:r>
    </w:p>
    <w:p>
      <w:pPr>
        <w:pStyle w:val="ListBullet"/>
        <w:spacing w:after="60"/>
      </w:pPr>
      <w:r>
        <w:rPr>
          <w:sz w:val="20"/>
        </w:rPr>
        <w:t>O zdarzeniach poważnych informuje się organ prowadzący oraz nadzór pedagogiczny.</w:t>
      </w:r>
    </w:p>
    <w:p>
      <w:pPr>
        <w:spacing w:before="260" w:after="80"/>
      </w:pPr>
      <w:r>
        <w:rPr>
          <w:b/>
          <w:color w:val="D22730"/>
          <w:sz w:val="18"/>
        </w:rPr>
        <w:t>§ 6. WSPARCIE I DZIAŁANIA NAPRAWCZE</w:t>
      </w:r>
    </w:p>
    <w:p>
      <w:pPr>
        <w:pStyle w:val="ListBullet"/>
        <w:spacing w:after="60"/>
      </w:pPr>
      <w:r>
        <w:rPr>
          <w:sz w:val="20"/>
        </w:rPr>
        <w:t>Osoba pokrzywdzona otrzymuje pomoc psychologiczno-pedagogiczną oraz plan powrotu do zajęć.</w:t>
      </w:r>
    </w:p>
    <w:p>
      <w:pPr>
        <w:pStyle w:val="ListBullet"/>
        <w:spacing w:after="60"/>
      </w:pPr>
      <w:r>
        <w:rPr>
          <w:sz w:val="20"/>
        </w:rPr>
        <w:t>Wobec sprawcy stosuje się działania wychowawcze przewidziane w statucie.</w:t>
      </w:r>
    </w:p>
    <w:p>
      <w:pPr>
        <w:pStyle w:val="ListBullet"/>
        <w:spacing w:after="60"/>
      </w:pPr>
      <w:r>
        <w:rPr>
          <w:sz w:val="20"/>
        </w:rPr>
        <w:t>Z klasą przeprowadza się zajęcia bez wskazywania osób i bez cytowania treści.</w:t>
      </w:r>
    </w:p>
    <w:p>
      <w:pPr>
        <w:pStyle w:val="ListBullet"/>
        <w:spacing w:after="60"/>
      </w:pPr>
      <w:r>
        <w:rPr>
          <w:sz w:val="20"/>
        </w:rPr>
        <w:t>Sytuację sprawdza się ponownie po upływie dwóch tygodni oraz po miesiącu.</w:t>
      </w:r>
    </w:p>
    <w:p>
      <w:pPr>
        <w:spacing w:before="260" w:after="80"/>
      </w:pPr>
      <w:r>
        <w:rPr>
          <w:b/>
          <w:color w:val="D22730"/>
          <w:sz w:val="18"/>
        </w:rPr>
        <w:t>§ 7. DOKUMENTACJA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Lp.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Data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Opis zdarzenia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Osoba prowadząca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Podjęte działania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Procedura powinna być spójna ze standardami ochrony małoletnich obowiązującymi w placówce.</w:t>
      </w:r>
    </w:p>
    <w:p>
      <w:pPr>
        <w:pStyle w:val="ListBullet"/>
        <w:spacing w:after="60"/>
      </w:pPr>
      <w:r>
        <w:rPr>
          <w:sz w:val="19"/>
        </w:rPr>
        <w:t>Wzór wymaga dostosowania do wielkości placówki i do zapisów statutu.</w:t>
      </w:r>
    </w:p>
    <w:p>
      <w:pPr>
        <w:pStyle w:val="ListBullet"/>
        <w:spacing w:after="60"/>
      </w:pPr>
      <w:r>
        <w:rPr>
          <w:sz w:val="19"/>
        </w:rPr>
        <w:t>Przed przyjęciem warto skonsultować treść z organem prowadzącym.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